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8856" w:type="dxa"/>
        <w:jc w:val="left"/>
        <w:tblInd w:w="0" w:type="dxa"/>
        <w:tblLayout w:type="fixed"/>
        <w:tblCellMar>
          <w:top w:w="0" w:type="dxa"/>
          <w:left w:w="108" w:type="dxa"/>
          <w:bottom w:w="0" w:type="dxa"/>
          <w:right w:w="108" w:type="dxa"/>
        </w:tblCellMar>
        <w:tblLook w:val="01e0"/>
      </w:tblPr>
      <w:tblGrid>
        <w:gridCol w:w="8856"/>
      </w:tblGrid>
      <w:tr>
        <w:trPr/>
        <w:tc>
          <w:tcPr>
            <w:tcW w:w="8856" w:type="dxa"/>
            <w:tcBorders>
              <w:top w:val="single" w:sz="18" w:space="0" w:color="000000"/>
              <w:left w:val="single" w:sz="18" w:space="0" w:color="000000"/>
              <w:bottom w:val="single" w:sz="18" w:space="0" w:color="000000"/>
              <w:right w:val="single" w:sz="18" w:space="0" w:color="000000"/>
            </w:tcBorders>
            <w:shd w:color="auto" w:fill="E0E0E0" w:val="clear"/>
          </w:tcPr>
          <w:p>
            <w:pPr>
              <w:pStyle w:val="Normal"/>
              <w:widowControl w:val="false"/>
              <w:rPr>
                <w:sz w:val="24"/>
                <w:szCs w:val="24"/>
              </w:rPr>
            </w:pPr>
            <w:r>
              <w:rPr>
                <w:b/>
                <w:sz w:val="24"/>
                <w:szCs w:val="24"/>
              </w:rPr>
              <w:t>Стандард 6: Квалитет, савременост и међународна усаглашеност студијског програма</w:t>
            </w:r>
          </w:p>
        </w:tc>
      </w:tr>
      <w:tr>
        <w:trPr/>
        <w:tc>
          <w:tcPr>
            <w:tcW w:w="8856" w:type="dxa"/>
            <w:tcBorders>
              <w:top w:val="single" w:sz="18" w:space="0" w:color="000000"/>
              <w:left w:val="single" w:sz="18" w:space="0" w:color="000000"/>
              <w:bottom w:val="single" w:sz="18" w:space="0" w:color="000000"/>
              <w:right w:val="single" w:sz="18" w:space="0" w:color="000000"/>
            </w:tcBorders>
          </w:tcPr>
          <w:p>
            <w:pPr>
              <w:pStyle w:val="Normal"/>
              <w:widowControl w:val="false"/>
              <w:rPr>
                <w:sz w:val="22"/>
                <w:szCs w:val="22"/>
              </w:rPr>
            </w:pPr>
            <w:r>
              <w:rPr>
                <w:sz w:val="22"/>
                <w:szCs w:val="22"/>
                <w:lang w:val="en-US"/>
              </w:rPr>
              <w:t xml:space="preserve">The study programme offers to students the state-of-art academic findings about the Southeastern Europe region. The programme is harmonized with the world trends and academic achievements in the fields of political science, economics, history and cultural studies on Southeastern Europe. The focus of the most recent research in this field is primarily devoted to studying of post-conflict integration process in the EU association context. </w:t>
            </w:r>
          </w:p>
          <w:p>
            <w:pPr>
              <w:pStyle w:val="Normal"/>
              <w:widowControl w:val="false"/>
              <w:rPr>
                <w:sz w:val="22"/>
                <w:szCs w:val="22"/>
              </w:rPr>
            </w:pPr>
            <w:r>
              <w:rPr>
                <w:sz w:val="22"/>
                <w:szCs w:val="22"/>
              </w:rPr>
            </w:r>
          </w:p>
          <w:p>
            <w:pPr>
              <w:pStyle w:val="Normal"/>
              <w:widowControl w:val="false"/>
              <w:rPr>
                <w:sz w:val="22"/>
                <w:szCs w:val="22"/>
              </w:rPr>
            </w:pPr>
            <w:r>
              <w:rPr>
                <w:sz w:val="22"/>
                <w:szCs w:val="22"/>
                <w:lang w:val="en-US"/>
              </w:rPr>
              <w:t xml:space="preserve">The study programme is harmonized with other programmes of the higher educational institution. The programme upgrades and expands knowledge from undergraduate courses dealing with studies of political and economic processes in Southeastern Europe. It is complementary to the academic master programmes in the fields of political institutions, political economics, European and cultural studies carried out at the Faculty of Political Science. </w:t>
            </w:r>
          </w:p>
          <w:p>
            <w:pPr>
              <w:pStyle w:val="Normal"/>
              <w:widowControl w:val="false"/>
              <w:rPr>
                <w:sz w:val="22"/>
                <w:szCs w:val="22"/>
              </w:rPr>
            </w:pPr>
            <w:r>
              <w:rPr>
                <w:sz w:val="22"/>
                <w:szCs w:val="22"/>
              </w:rPr>
            </w:r>
          </w:p>
          <w:p>
            <w:pPr>
              <w:pStyle w:val="Normal"/>
              <w:widowControl w:val="false"/>
              <w:rPr>
                <w:sz w:val="22"/>
                <w:szCs w:val="22"/>
              </w:rPr>
            </w:pPr>
            <w:r>
              <w:rPr>
                <w:sz w:val="22"/>
                <w:szCs w:val="22"/>
                <w:lang w:val="en-US"/>
              </w:rPr>
              <w:t xml:space="preserve">The programme is harmonized with the state’s goals as well. The Republic of Serbia has opened since 2014 </w:t>
            </w:r>
            <w:r>
              <w:rPr>
                <w:sz w:val="22"/>
                <w:szCs w:val="22"/>
                <w:lang w:val="en-US" w:eastAsia="sr-Latn-CS"/>
              </w:rPr>
              <w:t>several</w:t>
            </w:r>
            <w:r>
              <w:rPr>
                <w:sz w:val="22"/>
                <w:szCs w:val="22"/>
                <w:lang w:val="en-US"/>
              </w:rPr>
              <w:t xml:space="preserve"> chapters dealing with EU association and having influence on post-conflict period of political, economic and cultural cooperation in the region. These documents, strategies and reports of the European Commission serve as information basis for the design of this programme. </w:t>
            </w:r>
          </w:p>
          <w:p>
            <w:pPr>
              <w:pStyle w:val="Normal"/>
              <w:widowControl w:val="false"/>
              <w:rPr>
                <w:sz w:val="22"/>
                <w:szCs w:val="22"/>
              </w:rPr>
            </w:pPr>
            <w:r>
              <w:rPr>
                <w:sz w:val="22"/>
                <w:szCs w:val="22"/>
              </w:rPr>
            </w:r>
          </w:p>
          <w:p>
            <w:pPr>
              <w:pStyle w:val="Normal"/>
              <w:widowControl w:val="false"/>
              <w:rPr>
                <w:sz w:val="22"/>
                <w:szCs w:val="22"/>
              </w:rPr>
            </w:pPr>
            <w:r>
              <w:rPr>
                <w:sz w:val="22"/>
                <w:szCs w:val="22"/>
                <w:lang w:val="en-US"/>
              </w:rPr>
              <w:t xml:space="preserve">The study programme is harmonized with similar programmes of prestigious European and international higher educational institutions, such are the Interdisciplinary Research and Studies on Eastern Europe at the University of Bologna, master programme on Central and South-East European Studies at the University College London and master programme in South East European Studies: Politics, History, Economics at the University of Athens. Of course, these programmes’ curricula, due to the large capacities of these universities, by far exceed this academic programme. </w:t>
            </w:r>
            <w:r>
              <w:rPr>
                <w:sz w:val="22"/>
                <w:szCs w:val="22"/>
                <w:lang w:val="en-US"/>
              </w:rPr>
              <w:t>H</w:t>
            </w:r>
            <w:r>
              <w:rPr>
                <w:sz w:val="22"/>
                <w:szCs w:val="22"/>
                <w:lang w:val="en-US"/>
              </w:rPr>
              <w:t xml:space="preserve">owever, these master programmes include (among else) a large number of disciplines studied at </w:t>
            </w:r>
            <w:r>
              <w:rPr>
                <w:sz w:val="22"/>
                <w:szCs w:val="22"/>
                <w:lang w:val="en-US" w:eastAsia="sr-Latn-CS"/>
              </w:rPr>
              <w:t xml:space="preserve">this </w:t>
            </w:r>
            <w:r>
              <w:rPr>
                <w:sz w:val="22"/>
                <w:szCs w:val="22"/>
                <w:lang w:val="en-US"/>
              </w:rPr>
              <w:t xml:space="preserve">master programme. Among them are: interdisciplinary methods for studying economics and politics of the region, political economics of transition, EU integrations in the region, history of the region, state building, nationalism and protection and minorities and – last but not the least – languages of the region, which enable foreigners not only to endure in the region but also to monitor and study the political and economic processes. </w:t>
            </w:r>
          </w:p>
          <w:p>
            <w:pPr>
              <w:pStyle w:val="Normal"/>
              <w:widowControl w:val="false"/>
              <w:rPr>
                <w:sz w:val="22"/>
                <w:szCs w:val="22"/>
              </w:rPr>
            </w:pPr>
            <w:r>
              <w:rPr>
                <w:sz w:val="22"/>
                <w:szCs w:val="22"/>
              </w:rPr>
            </w:r>
          </w:p>
          <w:p>
            <w:pPr>
              <w:pStyle w:val="Normal"/>
              <w:widowControl w:val="false"/>
              <w:rPr>
                <w:sz w:val="22"/>
                <w:szCs w:val="22"/>
              </w:rPr>
            </w:pPr>
            <w:r>
              <w:rPr>
                <w:sz w:val="22"/>
                <w:szCs w:val="22"/>
                <w:lang w:val="en-US"/>
              </w:rPr>
              <w:t>Curricula</w:t>
            </w:r>
            <w:r>
              <w:rPr>
                <w:sz w:val="22"/>
                <w:szCs w:val="22"/>
              </w:rPr>
              <w:t>:</w:t>
            </w:r>
          </w:p>
          <w:p>
            <w:pPr>
              <w:pStyle w:val="Normal"/>
              <w:widowControl w:val="false"/>
              <w:rPr>
                <w:sz w:val="22"/>
                <w:szCs w:val="22"/>
              </w:rPr>
            </w:pPr>
            <w:r>
              <w:rPr>
                <w:sz w:val="22"/>
                <w:szCs w:val="22"/>
              </w:rPr>
              <w:t>1. Interdisciplinary Research and Studies o Easter, Bolognia: https://corsi.unibo.it/2cycle/mirees/course-structure-diagram/piano/2021/8049/000/000/2021</w:t>
            </w:r>
          </w:p>
          <w:p>
            <w:pPr>
              <w:pStyle w:val="Normal"/>
              <w:widowControl w:val="false"/>
              <w:rPr>
                <w:sz w:val="22"/>
                <w:szCs w:val="22"/>
              </w:rPr>
            </w:pPr>
            <w:r>
              <w:rPr>
                <w:sz w:val="22"/>
                <w:szCs w:val="22"/>
              </w:rPr>
              <w:t>2. UCL: Central and South-East European Studies MAhttps://www.ucl.ac.uk/prospective-students/graduate/taught-degrees/central-south-east-european-studies-ma</w:t>
            </w:r>
          </w:p>
          <w:p>
            <w:pPr>
              <w:pStyle w:val="Normal"/>
              <w:widowControl w:val="false"/>
              <w:rPr>
                <w:sz w:val="22"/>
                <w:szCs w:val="22"/>
              </w:rPr>
            </w:pPr>
            <w:r>
              <w:rPr>
                <w:sz w:val="22"/>
                <w:szCs w:val="22"/>
              </w:rPr>
              <w:t>3. University of Athens:  MA in Southeast European Studies: Politics, History, Economics https://see.pspa.uoa.gr</w:t>
            </w:r>
          </w:p>
          <w:p>
            <w:pPr>
              <w:pStyle w:val="Normal"/>
              <w:widowControl w:val="false"/>
              <w:rPr>
                <w:sz w:val="22"/>
                <w:szCs w:val="22"/>
              </w:rPr>
            </w:pPr>
            <w:r>
              <w:rPr>
                <w:sz w:val="22"/>
                <w:szCs w:val="22"/>
              </w:rPr>
            </w:r>
          </w:p>
          <w:p>
            <w:pPr>
              <w:pStyle w:val="Normal"/>
              <w:widowControl w:val="false"/>
              <w:rPr>
                <w:sz w:val="22"/>
                <w:szCs w:val="22"/>
              </w:rPr>
            </w:pPr>
            <w:r>
              <w:rPr>
                <w:sz w:val="22"/>
                <w:szCs w:val="22"/>
                <w:lang w:val="en-US"/>
              </w:rPr>
              <w:t xml:space="preserve">The study programme is both formally and structure-wise harmonized with the defined course-specific accreditation standards, European standards for enrollment requirements, duration of studies, conditions for enrolling the next year of studies, acquisition of diploma and manner of studies and comparability of the programme. </w:t>
            </w:r>
          </w:p>
        </w:tc>
      </w:tr>
      <w:tr>
        <w:trPr/>
        <w:tc>
          <w:tcPr>
            <w:tcW w:w="8856" w:type="dxa"/>
            <w:tcBorders>
              <w:top w:val="single" w:sz="18" w:space="0" w:color="000000"/>
              <w:left w:val="single" w:sz="18" w:space="0" w:color="000000"/>
              <w:bottom w:val="single" w:sz="18" w:space="0" w:color="000000"/>
              <w:right w:val="single" w:sz="18" w:space="0" w:color="000000"/>
            </w:tcBorders>
          </w:tcPr>
          <w:p>
            <w:pPr>
              <w:pStyle w:val="Normal"/>
              <w:widowControl w:val="false"/>
              <w:rPr>
                <w:sz w:val="24"/>
                <w:szCs w:val="24"/>
              </w:rPr>
            </w:pPr>
            <w:r>
              <w:rPr>
                <w:b/>
                <w:sz w:val="24"/>
                <w:szCs w:val="24"/>
              </w:rPr>
              <w:t xml:space="preserve">Евиденција: </w:t>
            </w:r>
            <w:hyperlink r:id="rId2">
              <w:r>
                <w:rPr>
                  <w:rStyle w:val="InternetLink"/>
                  <w:sz w:val="24"/>
                  <w:szCs w:val="24"/>
                </w:rPr>
                <w:t xml:space="preserve">Документација о најмање три акредитована инострана програма, са којим је програм усклађен </w:t>
              </w:r>
              <w:r>
                <w:rPr>
                  <w:rStyle w:val="InternetLink"/>
                  <w:b/>
                  <w:sz w:val="24"/>
                  <w:szCs w:val="24"/>
                </w:rPr>
                <w:t>–Прилог 6.1,2,3</w:t>
              </w:r>
            </w:hyperlink>
            <w:r>
              <w:rPr>
                <w:b/>
                <w:sz w:val="24"/>
                <w:szCs w:val="24"/>
              </w:rPr>
              <w:t xml:space="preserve">, </w:t>
            </w:r>
            <w:hyperlink r:id="rId3">
              <w:r>
                <w:rPr>
                  <w:rStyle w:val="InternetLink"/>
                  <w:sz w:val="24"/>
                  <w:szCs w:val="24"/>
                </w:rPr>
                <w:t>Препоруке или усклађеност са одговарајућим добром праксом у европским институцијама-</w:t>
              </w:r>
              <w:r>
                <w:rPr>
                  <w:rStyle w:val="InternetLink"/>
                  <w:b/>
                  <w:sz w:val="24"/>
                  <w:szCs w:val="24"/>
                </w:rPr>
                <w:t>Прилог 6.4</w:t>
              </w:r>
            </w:hyperlink>
          </w:p>
        </w:tc>
      </w:tr>
    </w:tbl>
    <w:p>
      <w:pPr>
        <w:pStyle w:val="Normal"/>
        <w:rPr/>
      </w:pPr>
      <w:r>
        <w:rPr/>
      </w:r>
    </w:p>
    <w:sectPr>
      <w:type w:val="nextPage"/>
      <w:pgSz w:w="12240" w:h="15840"/>
      <w:pgMar w:left="1800" w:right="1800" w:header="0" w:top="1440" w:footer="0" w:bottom="144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3192"/>
    <w:pPr>
      <w:widowControl w:val="false"/>
      <w:bidi w:val="0"/>
      <w:spacing w:before="0" w:after="0"/>
      <w:jc w:val="left"/>
    </w:pPr>
    <w:rPr>
      <w:rFonts w:ascii="Times New Roman" w:hAnsi="Times New Roman" w:eastAsia="Times New Roman" w:cs="Times New Roman"/>
      <w:color w:val="auto"/>
      <w:kern w:val="0"/>
      <w:sz w:val="20"/>
      <w:szCs w:val="20"/>
      <w:lang w:val="sr-Latn-CS" w:eastAsia="sr-Latn-CS" w:bidi="ar-SA"/>
    </w:rPr>
  </w:style>
  <w:style w:type="paragraph" w:styleId="Heading1">
    <w:name w:val="Heading 1"/>
    <w:basedOn w:val="Normal"/>
    <w:link w:val="Heading1Char"/>
    <w:uiPriority w:val="9"/>
    <w:qFormat/>
    <w:rsid w:val="0010316b"/>
    <w:pPr>
      <w:widowControl/>
      <w:spacing w:beforeAutospacing="1" w:afterAutospacing="1"/>
      <w:outlineLvl w:val="0"/>
    </w:pPr>
    <w:rPr>
      <w:b/>
      <w:bCs/>
      <w:kern w:val="2"/>
      <w:sz w:val="48"/>
      <w:szCs w:val="48"/>
      <w:lang w:eastAsia="en-GB"/>
    </w:rPr>
  </w:style>
  <w:style w:type="character" w:styleId="DefaultParagraphFont" w:default="1">
    <w:name w:val="Default Paragraph Font"/>
    <w:uiPriority w:val="1"/>
    <w:semiHidden/>
    <w:unhideWhenUsed/>
    <w:qFormat/>
    <w:rPr/>
  </w:style>
  <w:style w:type="character" w:styleId="InternetLink">
    <w:name w:val="Hyperlink"/>
    <w:rsid w:val="00047e30"/>
    <w:rPr>
      <w:color w:val="0000FF"/>
      <w:u w:val="single"/>
    </w:rPr>
  </w:style>
  <w:style w:type="character" w:styleId="BodyTextChar" w:customStyle="1">
    <w:name w:val="Body Text Char"/>
    <w:link w:val="BodyText"/>
    <w:qFormat/>
    <w:rsid w:val="00ca5025"/>
    <w:rPr>
      <w:rFonts w:ascii="Arial" w:hAnsi="Arial" w:cs="Arial"/>
      <w:lang w:val="de-DE" w:eastAsia="de-DE"/>
    </w:rPr>
  </w:style>
  <w:style w:type="character" w:styleId="Heading1Char" w:customStyle="1">
    <w:name w:val="Heading 1 Char"/>
    <w:basedOn w:val="DefaultParagraphFont"/>
    <w:link w:val="Heading1"/>
    <w:uiPriority w:val="9"/>
    <w:qFormat/>
    <w:rsid w:val="0010316b"/>
    <w:rPr>
      <w:b/>
      <w:bCs/>
      <w:kern w:val="2"/>
      <w:sz w:val="48"/>
      <w:szCs w:val="48"/>
      <w:lang w:eastAsia="en-GB"/>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link w:val="BodyTextChar"/>
    <w:rsid w:val="00ca5025"/>
    <w:pPr>
      <w:widowControl/>
      <w:jc w:val="both"/>
    </w:pPr>
    <w:rPr>
      <w:rFonts w:ascii="Arial" w:hAnsi="Arial"/>
      <w:lang w:val="de-DE" w:eastAsia="de-DE"/>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ListParagraph">
    <w:name w:val="List Paragraph"/>
    <w:basedOn w:val="Normal"/>
    <w:uiPriority w:val="34"/>
    <w:qFormat/>
    <w:rsid w:val="00ea664a"/>
    <w:pPr>
      <w:spacing w:before="0" w:after="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AppData/Local/Local%20Settings/Temp/&#1087;&#1088;&#1080;&#1083;&#1086;&#1079;&#1080;/&#1044;&#1086;&#1082;&#1091;&#1084;&#1077;&#1085;&#1090;&#1072;&#1094;&#1080;&#1112;&#1072;%20&#1086;%20&#1085;&#1072;&#1112;&#1084;&#1072;&#1114;&#1077;%20&#1090;&#1088;&#1080;%20&#1072;&#1082;&#1088;&#1077;&#1076;&#1080;&#1090;&#1086;&#1074;&#1072;&#1085;&#1072;%20&#1080;&#1085;&#1086;&#1089;&#1090;&#1088;&#1072;&#1085;&#1072;%20&#1087;&#1088;&#1086;&#1075;&#1088;&#1072;&#1084;&#1072;.doc" TargetMode="External"/><Relationship Id="rId3" Type="http://schemas.openxmlformats.org/officeDocument/2006/relationships/hyperlink" Target="../../../../../C:/AppData/Local/Local%20Settings/Temp/&#1087;&#1088;&#1080;&#1083;&#1086;&#1079;&#1080;/&#1055;&#1088;&#1077;&#1087;&#1086;&#1088;&#1091;&#1082;&#1077;%20&#1080;&#1083;&#1080;%20&#1091;&#1089;&#1082;&#1083;&#1072;&#1106;&#1077;&#1085;&#1086;&#1089;&#1090;%20&#1089;&#1072;%20&#1086;&#1076;&#1075;&#1086;&#1074;&#1072;&#1088;&#1072;&#1112;&#1091;&#1115;&#1080;&#1084;%20&#1076;&#1086;&#1073;&#1088;&#1086;&#1084;%20&#1087;&#1088;&#1072;&#1082;&#1089;&#1086;&#1084;%20&#1091;%20&#1077;&#1074;&#1088;&#1086;&#1087;&#1089;&#1082;&#1080;&#1084;%20&#1080;&#1085;&#1089;&#1090;&#1080;&#1090;&#1091;.doc"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8C423-2841-4279-BE68-A0100647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LibreOffice/7.1.3.2$MacOSX_X86_64 LibreOffice_project/47f78053abe362b9384784d31a6e56f8511eb1c1</Application>
  <AppVersion>15.0000</AppVersion>
  <Pages>1</Pages>
  <Words>452</Words>
  <Characters>2975</Characters>
  <CharactersWithSpaces>3424</CharactersWithSpaces>
  <Paragraphs>11</Paragraphs>
  <Company>FFH</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2021-06-14T12:04:00Z</dcterms:created>
  <dc:creator>Vera Dondur</dc:creator>
  <dc:description/>
  <dc:language>en-US</dc:language>
  <cp:lastModifiedBy/>
  <cp:lastPrinted>2021-06-15T11:31:47Z</cp:lastPrinted>
  <dcterms:modified xsi:type="dcterms:W3CDTF">2021-06-15T11:43:35Z</dcterms:modified>
  <cp:revision>8</cp:revision>
  <dc:subject/>
  <dc:title>Стандард 6: Квалитет, савременост и међународна усаглашеност студијског програма</dc:title>
</cp:coreProperties>
</file>

<file path=docProps/custom.xml><?xml version="1.0" encoding="utf-8"?>
<Properties xmlns="http://schemas.openxmlformats.org/officeDocument/2006/custom-properties" xmlns:vt="http://schemas.openxmlformats.org/officeDocument/2006/docPropsVTypes"/>
</file>